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2C" w:rsidRDefault="00A06683">
      <w:pPr>
        <w:ind w:right="-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Опросный лист для выбора электромагни</w:t>
      </w:r>
      <w:r w:rsidR="00D1441A">
        <w:rPr>
          <w:rFonts w:ascii="Tahoma" w:hAnsi="Tahoma" w:cs="Tahoma"/>
          <w:b/>
          <w:sz w:val="22"/>
          <w:szCs w:val="22"/>
        </w:rPr>
        <w:t>тного расходомера</w:t>
      </w:r>
    </w:p>
    <w:p w:rsidR="00D1441A" w:rsidRDefault="00D1441A" w:rsidP="004C1DC1">
      <w:pPr>
        <w:ind w:right="-18" w:hanging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</w:p>
    <w:p w:rsidR="00D1441A" w:rsidRDefault="00D1441A" w:rsidP="004C1DC1">
      <w:pPr>
        <w:ind w:right="-18"/>
        <w:rPr>
          <w:rFonts w:ascii="Tahoma" w:hAnsi="Tahoma" w:cs="Tahoma"/>
          <w:b/>
          <w:sz w:val="22"/>
          <w:szCs w:val="22"/>
        </w:rPr>
      </w:pPr>
    </w:p>
    <w:tbl>
      <w:tblPr>
        <w:tblpPr w:leftFromText="180" w:rightFromText="180" w:vertAnchor="page" w:horzAnchor="margin" w:tblpX="-289" w:tblpY="2265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70"/>
        <w:gridCol w:w="365"/>
        <w:gridCol w:w="21"/>
        <w:gridCol w:w="180"/>
        <w:gridCol w:w="172"/>
        <w:gridCol w:w="188"/>
        <w:gridCol w:w="540"/>
        <w:gridCol w:w="161"/>
        <w:gridCol w:w="814"/>
        <w:gridCol w:w="285"/>
        <w:gridCol w:w="167"/>
        <w:gridCol w:w="373"/>
        <w:gridCol w:w="180"/>
        <w:gridCol w:w="710"/>
        <w:gridCol w:w="908"/>
        <w:gridCol w:w="354"/>
        <w:gridCol w:w="893"/>
        <w:gridCol w:w="366"/>
        <w:gridCol w:w="2511"/>
      </w:tblGrid>
      <w:tr w:rsidR="007D4F2C" w:rsidTr="0084483F">
        <w:trPr>
          <w:trHeight w:val="282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7D4F2C" w:rsidTr="0084483F">
        <w:trPr>
          <w:trHeight w:val="309"/>
        </w:trPr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23"/>
        </w:trPr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2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7D4F2C" w:rsidTr="0084483F">
        <w:trPr>
          <w:trHeight w:val="341"/>
        </w:trPr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Измеряемая среда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Тип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ание к какому типу измеряемых сред относится данная среда."/>
                  <w:ddList>
                    <w:listEntry w:val="              "/>
                    <w:listEntry w:val="жидкость"/>
                    <w:listEntry w:val="пульпа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Состав (если смесь):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остав измеряемой среды, если из названия нельзя определить достоверно, что из себя представляет измеряемая сред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Концентрация (если раствор):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сли измеряемая среда является раствором, то необходимо указать концентрацию для оптимального выбора материала, соприкасающегося с изм.средой. Например, 10% раствор NaCl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%</w:t>
            </w:r>
          </w:p>
        </w:tc>
      </w:tr>
      <w:tr w:rsidR="007D4F2C" w:rsidTr="0084483F">
        <w:trPr>
          <w:trHeight w:val="341"/>
        </w:trPr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Электропроводность (мкСм/см)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7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от 5 до 50;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олько ОДИН вариант в каком диапазоне находится значение электропроводности измеряемой среды. При случае менее 5 мкСм/см расходомер не может быть применен.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от 50 до 100;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олько ОДИН вариант в каком диапазоне находится значение электропроводности измеряемой среды. При случае менее 5 мкСм/см расходомер не может быть применен.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более 100;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олько ОДИН вариант в каком диапазоне находится значение электропроводности измеряемой среды. При случае менее 5 мкСм/см расходомер не может быть применен.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 данных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чается при наличии абразивных частиц, которые могут привести к эррозии измерительных трубок, а, следовательно, к изменению метрологических характеристик. Для слежения за метрологией рекомендуется опция &quot;самопроверки состояния изм.трубок&quot; (ниже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b/>
                <w:sz w:val="18"/>
                <w:szCs w:val="18"/>
              </w:rPr>
            </w:r>
            <w:r w:rsidR="00F654B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абразивная среда: 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мерный процент (по объему) твердых частиц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% твердых частиц;   размер частиц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Размер частиц играет также важную роль при выборе материала внутреннего покрытия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7D4F2C" w:rsidTr="0084483F">
        <w:trPr>
          <w:trHeight w:val="341"/>
        </w:trPr>
        <w:tc>
          <w:tcPr>
            <w:tcW w:w="2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Допустимость </w:t>
            </w:r>
          </w:p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применения</w:t>
            </w:r>
          </w:p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материалов:</w:t>
            </w:r>
          </w:p>
        </w:tc>
        <w:tc>
          <w:tcPr>
            <w:tcW w:w="88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TFE - это, другими словами, Тефлон или Фторопласт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PTFE;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PFA близок к PTFE, но чаще всего имеет большую стойкость к агрессивным средам, чем PTFE"/>
                  <w:checkBox>
                    <w:sizeAuto/>
                    <w:default w:val="0"/>
                  </w:checkBox>
                </w:ffData>
              </w:fldChar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8448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PFA</w:t>
            </w:r>
            <w:r>
              <w:rPr>
                <w:rFonts w:ascii="Tahoma" w:hAnsi="Tahoma" w:cs="Tahoma"/>
                <w:sz w:val="18"/>
                <w:szCs w:val="18"/>
              </w:rPr>
              <w:t xml:space="preserve">;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аиболее распространенный материал при применениях учета расхода воды. Низкая стоимость, но и низкая стойкость к агрессивным жидкостям. Высокая сопротивляемость абразивному износу"/>
                  <w:checkBox>
                    <w:sizeAuto/>
                    <w:default w:val="0"/>
                  </w:checkBox>
                </w:ffData>
              </w:fldChar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Полиуретан;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териал, наиболее стойкий к химическому воздействию из неполимерных материалов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Неопрен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;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териал, применяемый в добывающей промышленност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Linatex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сли стойкость материалов к измеряемой среде не известн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 знаю</w:t>
            </w:r>
          </w:p>
        </w:tc>
      </w:tr>
      <w:tr w:rsidR="007D4F2C" w:rsidTr="0084483F">
        <w:trPr>
          <w:trHeight w:val="34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7D4F2C" w:rsidP="0084483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бычная нержавещая сталь 316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нерж.сталь 316L;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икелевый сплав сходных по составу с Hastelloy C-276"/>
                  <w:checkBox>
                    <w:sizeAuto/>
                    <w:default w:val="0"/>
                  </w:checkBox>
                </w:ffData>
              </w:fldChar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Никелевый сплав 276;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Тантал рекомендуется в ряде случаев"/>
                  <w:checkBox>
                    <w:sizeAuto/>
                    <w:default w:val="0"/>
                  </w:checkBox>
                </w:ffData>
              </w:fldChar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Тантал;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аилучший выбор по стойкости при измерении серной кислоты"/>
                  <w:checkBox>
                    <w:sizeAuto/>
                    <w:default w:val="0"/>
                  </w:checkBox>
                </w:ffData>
              </w:fldChar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Платина+Иридий;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итан применяется часто при измерении расхода некоторых кислот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Титан;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ойкость материалов не известн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 знаю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7D4F2C" w:rsidTr="0084483F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измеряемого расх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единиц измерения указанного расхода"/>
                  <w:ddList>
                    <w:listEntry w:val="м3/ч"/>
                    <w:listEntry w:val="л/ч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Плотность при раб. условиях: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Значение плотности измеряемой среды при номинальных (рабочих) давлении и температуре, которое будет использоваться для пересчета при разных единицах измерения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кг/м3</w:t>
            </w:r>
          </w:p>
        </w:tc>
      </w:tr>
      <w:tr w:rsidR="007D4F2C" w:rsidTr="0084483F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давление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давление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давление измеряемой среды&#10;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указанного диапазона давления"/>
                  <w:ddList>
                    <w:listEntry w:val="кгс/см2-изб"/>
                    <w:listEntry w:val="МПа-изб"/>
                    <w:listEntry w:val="бар-изб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2C" w:rsidRDefault="007D4F2C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4F2C" w:rsidTr="0084483F">
        <w:trPr>
          <w:trHeight w:val="341"/>
        </w:trPr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измеряемой среды. Но не менее минус 29 град.Ц!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ая (рабочая) температура измеряемо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измеряемой среды. Но не более +177 град.Ц!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2C" w:rsidRDefault="007D4F2C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Соединение с трубопроводом на объекте</w:t>
            </w:r>
          </w:p>
        </w:tc>
      </w:tr>
      <w:tr w:rsidR="007D4F2C" w:rsidTr="0084483F">
        <w:trPr>
          <w:trHeight w:val="341"/>
        </w:trPr>
        <w:tc>
          <w:tcPr>
            <w:tcW w:w="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Внутренний"/>
                    <w:listEntry w:val="Внешний"/>
                  </w:ddList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FORMDROPDOWN </w:instrText>
            </w:r>
            <w:r w:rsidR="00F654B6">
              <w:rPr>
                <w:rFonts w:ascii="Tahoma" w:hAnsi="Tahoma" w:cs="Tahoma"/>
                <w:b/>
                <w:sz w:val="18"/>
                <w:szCs w:val="18"/>
              </w:rPr>
            </w:r>
            <w:r w:rsidR="00F654B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диаметр трубопровода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мм;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толщины стенки трубопровода. Необходимо при предложении ответных фланцев с коническими переходами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териал трубопровода. Необходим при заказе ответных фланцев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Стандарт фланцев: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Желаемый стандарт фланцев расходомера."/>
                  <w:ddList>
                    <w:listEntry w:val="         "/>
                    <w:listEntry w:val="EN-1092-1"/>
                    <w:listEntry w:val="ANSI"/>
                    <w:listEntry w:val="любой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Допустимость сужения трубопровода в месте установки расходомера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Нет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расходомера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Требуемая основная относительная погрешность измерения объемного расхода: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Значение допустимой погрешности в указанном диапазоне расхода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7D4F2C" w:rsidTr="0084483F">
        <w:trPr>
          <w:trHeight w:val="341"/>
        </w:trPr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Исполнение расходомера:</w:t>
            </w:r>
          </w:p>
        </w:tc>
        <w:tc>
          <w:tcPr>
            <w:tcW w:w="86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Фланцевый - расходомер с фланцами. Ответные фланцы заказываются дополнительно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b/>
                <w:sz w:val="18"/>
                <w:szCs w:val="18"/>
              </w:rPr>
            </w:r>
            <w:r w:rsidR="00F654B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фланцевый;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Бесфланцевый - на расходомере нет фланцев, &quot;сэндвич&quot;. Расходомер зажимается между ответными фланцами, которые заказываются дополнительно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бесфланцевый;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то фланцевый расходомер, но с повышенным уровнем сигнала. Рекомендуется для особо сложных применений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для «высокозашумленных» процессов;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Гигиенический - расходомер с фитингами для применения в пищевой промышленност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гигиенический</w:t>
            </w:r>
          </w:p>
        </w:tc>
      </w:tr>
      <w:tr w:rsidR="007D4F2C" w:rsidTr="0084483F">
        <w:trPr>
          <w:trHeight w:val="341"/>
        </w:trPr>
        <w:tc>
          <w:tcPr>
            <w:tcW w:w="5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среды: от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окружающе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окружающей сред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Питание расходомера: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очтительный вариант электропитания на объекте потребителя"/>
                  <w:ddList>
                    <w:listEntry w:val="             "/>
                    <w:listEntry w:val="не известно"/>
                    <w:listEntry w:val="220В, 50/60 Гц"/>
                    <w:listEntry w:val="24В пост.тока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FORMDROPDOWN </w:instrText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4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Взрывозащита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Вариант исполнения прибора по взрывозащищенности"/>
                  <w:ddList>
                    <w:listEntry w:val="                       "/>
                    <w:listEntry w:val="без взрывозащиты"/>
                    <w:listEntry w:val="взрывонепроницаемая оболочка"/>
                    <w:listEntry w:val="искробезопасная цепь"/>
                  </w:ddLis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left="30"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Типоразмер кабельных вводов: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1/2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NPT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(стандарт)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84483F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1,5 (опция)</w:t>
            </w:r>
          </w:p>
        </w:tc>
      </w:tr>
      <w:tr w:rsidR="007D4F2C" w:rsidTr="0084483F">
        <w:trPr>
          <w:trHeight w:val="341"/>
        </w:trPr>
        <w:tc>
          <w:tcPr>
            <w:tcW w:w="4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Желательный монтаж преобразователя и сенсора: </w:t>
            </w:r>
          </w:p>
        </w:tc>
        <w:tc>
          <w:tcPr>
            <w:tcW w:w="6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и преобразователь - в едином конструктив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интегральный;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(проточная часть) - на трубопроводе. Преобразователь - вынесен на несколько метров от места установки сенс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удаленный кабелем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ина поставляемого кабеля для удаления преобразователя от сенсора (максимальная длина 300 метров). Это НЕ расстояние от преобразователя до верхнего уровня или вторичной аппаратур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метров (макс.300 м)</w:t>
            </w:r>
          </w:p>
        </w:tc>
      </w:tr>
      <w:tr w:rsidR="007D4F2C" w:rsidTr="0084483F">
        <w:trPr>
          <w:trHeight w:val="341"/>
        </w:trPr>
        <w:tc>
          <w:tcPr>
            <w:tcW w:w="4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8448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Фланцы расходомера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6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448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и преобразователь - в едином конструктив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углеродистая сталь (стандартно);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енсор (проточная часть) - на трубопроводе. Преобразователь - вынесен на несколько метров от места установки сенс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нержавеющая сталь</w:t>
            </w:r>
          </w:p>
        </w:tc>
      </w:tr>
      <w:tr w:rsidR="007D4F2C" w:rsidRPr="0084483F" w:rsidTr="0084483F">
        <w:trPr>
          <w:trHeight w:val="34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Выходные сигналы: </w:t>
            </w:r>
          </w:p>
        </w:tc>
        <w:tc>
          <w:tcPr>
            <w:tcW w:w="93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4-20 </w:t>
            </w:r>
            <w:r>
              <w:rPr>
                <w:rFonts w:ascii="Tahoma" w:hAnsi="Tahoma" w:cs="Tahoma"/>
                <w:sz w:val="18"/>
                <w:szCs w:val="18"/>
              </w:rPr>
              <w:t>мА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+ HART </w:t>
            </w:r>
            <w:r>
              <w:rPr>
                <w:rFonts w:ascii="Tahoma" w:hAnsi="Tahoma" w:cs="Tahoma"/>
                <w:sz w:val="18"/>
                <w:szCs w:val="18"/>
              </w:rPr>
              <w:t>и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частотно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импульсный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;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Foundation FieldBus;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ОДИН вариант требуемых выходных сигналов.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Profibus PA</w:t>
            </w:r>
          </w:p>
        </w:tc>
      </w:tr>
      <w:tr w:rsidR="007D4F2C" w:rsidTr="0084483F">
        <w:trPr>
          <w:trHeight w:val="341"/>
        </w:trPr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Дополнительные возможности:</w:t>
            </w:r>
          </w:p>
        </w:tc>
        <w:tc>
          <w:tcPr>
            <w:tcW w:w="845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,  а также для настройки/перенастройки расходомер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ЖК-индикатор с кнопками управления для настройки (ЛОИ)</w:t>
            </w:r>
          </w:p>
        </w:tc>
      </w:tr>
      <w:tr w:rsidR="007D4F2C" w:rsidTr="0084483F">
        <w:trPr>
          <w:trHeight w:val="341"/>
        </w:trPr>
        <w:tc>
          <w:tcPr>
            <w:tcW w:w="2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4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акет диагностики DA1 позволяет дополнительно (к стандартному пакету) получить возможность диагностировать повышенные шумы и проблемы подключения/заземления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Пакет диагностики DA1 </w:t>
            </w:r>
            <w:r>
              <w:rPr>
                <w:rFonts w:ascii="Tahoma" w:hAnsi="Tahoma" w:cs="Tahoma"/>
                <w:sz w:val="16"/>
                <w:szCs w:val="16"/>
              </w:rPr>
              <w:t>(диагностика высокого уровня шумов тех.процесса, заземления/подключения)</w:t>
            </w:r>
          </w:p>
        </w:tc>
      </w:tr>
      <w:tr w:rsidR="007D4F2C" w:rsidTr="0084483F">
        <w:trPr>
          <w:trHeight w:val="341"/>
        </w:trPr>
        <w:tc>
          <w:tcPr>
            <w:tcW w:w="2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4F2C" w:rsidRDefault="007D4F2C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акет диагностики DA2 позволяет дополнительно (к стандартному пакету) получить возможность проверять калибровку и выход 4-20 мА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Пакет диагностики DA2 </w:t>
            </w:r>
            <w:r>
              <w:rPr>
                <w:rFonts w:ascii="Tahoma" w:hAnsi="Tahoma" w:cs="Tahoma"/>
                <w:sz w:val="16"/>
                <w:szCs w:val="16"/>
              </w:rPr>
              <w:t>(проверка сенсора и преобразователя с помощью встроенного ПО – 8714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D4F2C" w:rsidTr="0084483F">
        <w:trPr>
          <w:trHeight w:val="341"/>
        </w:trPr>
        <w:tc>
          <w:tcPr>
            <w:tcW w:w="2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4F2C" w:rsidRDefault="007D4F2C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озможность поставки расходомера с возможностью монтажа/демонтажа электродов и их замены. Рекомендуется в редких, когда невозможно подобрать материал, который может долговременно работать с данной изм.средой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заменяемые электроды; 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аблички из нерж.стали на сенсоре и преобразовател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таблички из нерж. стали;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личие дополнительно дискретного входа (индикация обратного потока, индикация отсутсвия расхода, наличие пустой трубы, индикация наличия ошибки) или выхода (запрос на обнуление сумматора, обнуление выхода по расходу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дискретный вход/выход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аксессуары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, услуги</w:t>
            </w:r>
          </w:p>
        </w:tc>
      </w:tr>
      <w:tr w:rsidR="007D4F2C" w:rsidTr="0084483F">
        <w:trPr>
          <w:trHeight w:val="341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ответных фланцев расходомера (для выбора необходима информация о материале трубопровода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ответные фланцы</w:t>
            </w:r>
          </w:p>
        </w:tc>
        <w:tc>
          <w:tcPr>
            <w:tcW w:w="91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ор необходимости в конических переходах до  после расходомера при необходимости сужения трубопровода при установке сенсора (для выбора необходимы: точный внутренний или внешний диаметры, толщина стенки трубопровода, материал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 прямыми участками и коническими переходами (если расходомер с сужением трубопровода)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комплектации расходомера блоком питания при питании постоянным током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</w:rPr>
            </w:r>
            <w:r w:rsidR="00F654B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блок питания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ость в шеф надзоре или пуско-наладке при монтаже прибора на объекте. Осуществляется службой сервиса предприят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654B6"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шеф надзор, пуско-наладка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D4F2C" w:rsidRDefault="00A06683" w:rsidP="0084483F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Примечания</w:t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7D4F2C" w:rsidTr="0084483F">
        <w:trPr>
          <w:trHeight w:val="341"/>
        </w:trPr>
        <w:tc>
          <w:tcPr>
            <w:tcW w:w="1116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F2C" w:rsidRDefault="00A06683" w:rsidP="0084483F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Любые дополнительные сведения, которые необходимо учесть при выборе расходомер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D1441A" w:rsidRDefault="00A06683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ab/>
      </w:r>
    </w:p>
    <w:p w:rsidR="00A06683" w:rsidRPr="00D1441A" w:rsidRDefault="00D1441A" w:rsidP="00D1441A">
      <w:pPr>
        <w:tabs>
          <w:tab w:val="left" w:pos="322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sectPr w:rsidR="00A06683" w:rsidRPr="00D1441A" w:rsidSect="004C1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0" w:left="720" w:header="142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83" w:rsidRDefault="00A06683">
      <w:r>
        <w:separator/>
      </w:r>
    </w:p>
  </w:endnote>
  <w:endnote w:type="continuationSeparator" w:id="0">
    <w:p w:rsidR="00A06683" w:rsidRDefault="00A0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22" w:rsidRDefault="005D13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4C1DC1" w:rsidRPr="004C1DC1" w:rsidTr="004C1DC1">
      <w:trPr>
        <w:trHeight w:val="134"/>
      </w:trPr>
      <w:tc>
        <w:tcPr>
          <w:tcW w:w="5671" w:type="dxa"/>
        </w:tcPr>
        <w:p w:rsidR="004C1DC1" w:rsidRPr="004C1DC1" w:rsidRDefault="004C1DC1">
          <w:pPr>
            <w:pStyle w:val="a9"/>
            <w:rPr>
              <w:sz w:val="14"/>
              <w:szCs w:val="14"/>
            </w:rPr>
          </w:pPr>
          <w:r w:rsidRPr="004C1DC1"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 w:rsidRPr="004C1DC1">
            <w:rPr>
              <w:sz w:val="14"/>
              <w:szCs w:val="14"/>
            </w:rPr>
            <w:t>КИПиА</w:t>
          </w:r>
          <w:proofErr w:type="spellEnd"/>
          <w:r w:rsidRPr="004C1DC1"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</w:tcPr>
        <w:p w:rsidR="004C1DC1" w:rsidRPr="004C1DC1" w:rsidRDefault="004C1DC1" w:rsidP="004C1DC1">
          <w:pPr>
            <w:pStyle w:val="a9"/>
            <w:jc w:val="right"/>
            <w:rPr>
              <w:sz w:val="14"/>
              <w:szCs w:val="14"/>
              <w:lang w:val="en-US"/>
            </w:rPr>
          </w:pPr>
          <w:r w:rsidRPr="004C1DC1"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4C1DC1" w:rsidRPr="004C1DC1" w:rsidRDefault="004C1DC1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22" w:rsidRDefault="005D13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83" w:rsidRDefault="00A06683">
      <w:r>
        <w:separator/>
      </w:r>
    </w:p>
  </w:footnote>
  <w:footnote w:type="continuationSeparator" w:id="0">
    <w:p w:rsidR="00A06683" w:rsidRDefault="00A0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22" w:rsidRDefault="005D13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00"/>
      <w:gridCol w:w="2215"/>
      <w:gridCol w:w="4915"/>
    </w:tblGrid>
    <w:tr w:rsidR="00D1441A" w:rsidRPr="00197E29" w:rsidTr="004C1DC1">
      <w:trPr>
        <w:trHeight w:val="1361"/>
      </w:trPr>
      <w:tc>
        <w:tcPr>
          <w:tcW w:w="1797" w:type="pct"/>
          <w:vAlign w:val="center"/>
        </w:tcPr>
        <w:p w:rsidR="00D1441A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ООО </w:t>
          </w:r>
          <w:r w:rsidRPr="00920AB8">
            <w:rPr>
              <w:b/>
              <w:sz w:val="16"/>
              <w:szCs w:val="16"/>
            </w:rPr>
            <w:t>ПРОМХИМТЕХ</w:t>
          </w:r>
        </w:p>
        <w:p w:rsidR="00D1441A" w:rsidRPr="00103E29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>630007, г. Новосибирск, ул. Фабричная, д.</w:t>
          </w:r>
          <w:r>
            <w:rPr>
              <w:sz w:val="16"/>
              <w:szCs w:val="16"/>
            </w:rPr>
            <w:t xml:space="preserve"> 10</w:t>
          </w:r>
        </w:p>
        <w:p w:rsidR="00D1441A" w:rsidRPr="00103E29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 xml:space="preserve">Тел./ Факс: </w:t>
          </w:r>
          <w:bookmarkStart w:id="0" w:name="_GoBack"/>
          <w:r w:rsidR="00F654B6">
            <w:rPr>
              <w:sz w:val="16"/>
              <w:szCs w:val="16"/>
            </w:rPr>
            <w:t>+7</w:t>
          </w:r>
          <w:r w:rsidRPr="00103E29">
            <w:rPr>
              <w:sz w:val="16"/>
              <w:szCs w:val="16"/>
              <w:lang w:val="en-US"/>
            </w:rPr>
            <w:t> </w:t>
          </w:r>
          <w:bookmarkEnd w:id="0"/>
          <w:r w:rsidRPr="00103E29">
            <w:rPr>
              <w:sz w:val="16"/>
              <w:szCs w:val="16"/>
            </w:rPr>
            <w:t>800 250-01-54</w:t>
          </w:r>
        </w:p>
        <w:p w:rsidR="00D1441A" w:rsidRPr="00103E29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  <w:lang w:val="en-US"/>
            </w:rPr>
            <w:t>e</w:t>
          </w:r>
          <w:r w:rsidRPr="00103E29">
            <w:rPr>
              <w:sz w:val="16"/>
              <w:szCs w:val="16"/>
            </w:rPr>
            <w:t>-</w:t>
          </w:r>
          <w:r w:rsidRPr="00103E29">
            <w:rPr>
              <w:sz w:val="16"/>
              <w:szCs w:val="16"/>
              <w:lang w:val="en-US"/>
            </w:rPr>
            <w:t>mail</w:t>
          </w:r>
          <w:r w:rsidRPr="00103E29">
            <w:rPr>
              <w:sz w:val="16"/>
              <w:szCs w:val="16"/>
            </w:rPr>
            <w:t xml:space="preserve">: </w:t>
          </w:r>
          <w:proofErr w:type="spellStart"/>
          <w:r w:rsidRPr="00103E29">
            <w:rPr>
              <w:sz w:val="16"/>
              <w:szCs w:val="16"/>
              <w:lang w:val="en-US"/>
            </w:rPr>
            <w:t>zakaz</w:t>
          </w:r>
          <w:proofErr w:type="spellEnd"/>
          <w:r w:rsidRPr="00103E29">
            <w:rPr>
              <w:sz w:val="16"/>
              <w:szCs w:val="16"/>
            </w:rPr>
            <w:t>@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  <w:p w:rsidR="00D1441A" w:rsidRPr="00995980" w:rsidRDefault="00D1441A" w:rsidP="00D1441A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  <w:lang w:val="en-US"/>
            </w:rPr>
            <w:t>http</w:t>
          </w:r>
          <w:r w:rsidRPr="00103E29">
            <w:rPr>
              <w:sz w:val="16"/>
              <w:szCs w:val="16"/>
            </w:rPr>
            <w:t>://</w:t>
          </w:r>
          <w:r w:rsidRPr="00103E29">
            <w:rPr>
              <w:sz w:val="16"/>
              <w:szCs w:val="16"/>
              <w:lang w:val="en-US"/>
            </w:rPr>
            <w:t>www</w:t>
          </w:r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995" w:type="pct"/>
        </w:tcPr>
        <w:p w:rsidR="00D1441A" w:rsidRPr="00197E29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</w:rPr>
          </w:pPr>
          <w:r w:rsidRPr="006760E6">
            <w:rPr>
              <w:b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19" name="Рисунок 19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-1022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vAlign w:val="center"/>
        </w:tcPr>
        <w:p w:rsidR="00D1441A" w:rsidRPr="00D1441A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</w:p>
        <w:p w:rsidR="00D1441A" w:rsidRPr="00D1441A" w:rsidRDefault="00D1441A" w:rsidP="00D1441A">
          <w:pPr>
            <w:pStyle w:val="a7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n-US"/>
            </w:rPr>
            <w:t>INDUSTRI</w:t>
          </w:r>
          <w:r w:rsidRPr="005F7C4F">
            <w:rPr>
              <w:b/>
              <w:sz w:val="16"/>
              <w:szCs w:val="16"/>
              <w:lang w:val="en-US"/>
            </w:rPr>
            <w:t>AL</w:t>
          </w:r>
          <w:r w:rsidRPr="00D1441A">
            <w:rPr>
              <w:b/>
              <w:sz w:val="16"/>
              <w:szCs w:val="16"/>
            </w:rPr>
            <w:t xml:space="preserve"> </w:t>
          </w:r>
          <w:r w:rsidRPr="005F7C4F">
            <w:rPr>
              <w:b/>
              <w:sz w:val="16"/>
              <w:szCs w:val="16"/>
              <w:lang w:val="en-US"/>
            </w:rPr>
            <w:t>CHEMICAL</w:t>
          </w:r>
          <w:r w:rsidRPr="00D1441A">
            <w:rPr>
              <w:b/>
              <w:sz w:val="16"/>
              <w:szCs w:val="16"/>
            </w:rPr>
            <w:t xml:space="preserve"> </w:t>
          </w:r>
          <w:r w:rsidRPr="005F7C4F">
            <w:rPr>
              <w:b/>
              <w:sz w:val="16"/>
              <w:szCs w:val="16"/>
              <w:lang w:val="en-US"/>
            </w:rPr>
            <w:t>TECHNOLOGIES</w:t>
          </w:r>
          <w:r w:rsidRPr="00D1441A">
            <w:rPr>
              <w:b/>
              <w:sz w:val="16"/>
              <w:szCs w:val="16"/>
            </w:rPr>
            <w:t xml:space="preserve">,  </w:t>
          </w:r>
          <w:r>
            <w:rPr>
              <w:b/>
              <w:sz w:val="16"/>
              <w:szCs w:val="16"/>
              <w:lang w:val="en-US"/>
            </w:rPr>
            <w:t>OOO</w:t>
          </w:r>
        </w:p>
        <w:p w:rsidR="00D1441A" w:rsidRPr="00920AB8" w:rsidRDefault="00D1441A" w:rsidP="00D1441A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D1441A">
            <w:rPr>
              <w:sz w:val="16"/>
              <w:szCs w:val="16"/>
              <w:lang w:val="en-US"/>
            </w:rPr>
            <w:t xml:space="preserve">10 </w:t>
          </w:r>
          <w:proofErr w:type="spellStart"/>
          <w:r w:rsidRPr="005F7C4F">
            <w:rPr>
              <w:sz w:val="16"/>
              <w:szCs w:val="16"/>
              <w:lang w:val="en-US"/>
            </w:rPr>
            <w:t>Fabrichnaya</w:t>
          </w:r>
          <w:proofErr w:type="spellEnd"/>
          <w:r w:rsidRPr="00D1441A">
            <w:rPr>
              <w:sz w:val="16"/>
              <w:szCs w:val="16"/>
              <w:lang w:val="en-US"/>
            </w:rPr>
            <w:t xml:space="preserve"> </w:t>
          </w:r>
          <w:r w:rsidRPr="005F7C4F">
            <w:rPr>
              <w:sz w:val="16"/>
              <w:szCs w:val="16"/>
              <w:lang w:val="en-US"/>
            </w:rPr>
            <w:t>str</w:t>
          </w:r>
          <w:r w:rsidRPr="00D1441A">
            <w:rPr>
              <w:sz w:val="16"/>
              <w:szCs w:val="16"/>
              <w:lang w:val="en-US"/>
            </w:rPr>
            <w:t xml:space="preserve">., </w:t>
          </w:r>
          <w:r w:rsidRPr="005F7C4F">
            <w:rPr>
              <w:sz w:val="16"/>
              <w:szCs w:val="16"/>
              <w:lang w:val="en-US"/>
            </w:rPr>
            <w:t>Novosibirsk</w:t>
          </w:r>
          <w:r w:rsidRPr="00920AB8">
            <w:rPr>
              <w:sz w:val="16"/>
              <w:szCs w:val="16"/>
              <w:lang w:val="en-US"/>
            </w:rPr>
            <w:t xml:space="preserve">, </w:t>
          </w:r>
          <w:r w:rsidRPr="005F7C4F">
            <w:rPr>
              <w:sz w:val="16"/>
              <w:szCs w:val="16"/>
              <w:lang w:val="en-US"/>
            </w:rPr>
            <w:t>Russia</w:t>
          </w:r>
          <w:r w:rsidRPr="00920AB8">
            <w:rPr>
              <w:sz w:val="16"/>
              <w:szCs w:val="16"/>
              <w:lang w:val="en-US"/>
            </w:rPr>
            <w:t>, 630007</w:t>
          </w:r>
        </w:p>
        <w:p w:rsidR="00D1441A" w:rsidRPr="00920AB8" w:rsidRDefault="00D1441A" w:rsidP="00D1441A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Tel</w:t>
          </w:r>
          <w:r w:rsidRPr="00920AB8">
            <w:rPr>
              <w:sz w:val="16"/>
              <w:szCs w:val="16"/>
              <w:lang w:val="en-US"/>
            </w:rPr>
            <w:t>./</w:t>
          </w:r>
          <w:r w:rsidRPr="005F7C4F">
            <w:rPr>
              <w:sz w:val="16"/>
              <w:szCs w:val="16"/>
              <w:lang w:val="en-US"/>
            </w:rPr>
            <w:t>fax</w:t>
          </w:r>
          <w:r w:rsidRPr="00920AB8">
            <w:rPr>
              <w:sz w:val="16"/>
              <w:szCs w:val="16"/>
              <w:lang w:val="en-US"/>
            </w:rPr>
            <w:t>: +7 800 250-01-54</w:t>
          </w:r>
          <w:r>
            <w:rPr>
              <w:sz w:val="16"/>
              <w:szCs w:val="16"/>
              <w:lang w:val="en-US"/>
            </w:rPr>
            <w:t xml:space="preserve"> </w:t>
          </w:r>
        </w:p>
        <w:p w:rsidR="00D1441A" w:rsidRPr="00920AB8" w:rsidRDefault="00D1441A" w:rsidP="00D1441A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e</w:t>
          </w:r>
          <w:r w:rsidRPr="00920AB8">
            <w:rPr>
              <w:sz w:val="16"/>
              <w:szCs w:val="16"/>
              <w:lang w:val="en-US"/>
            </w:rPr>
            <w:t>-</w:t>
          </w:r>
          <w:r w:rsidRPr="005F7C4F">
            <w:rPr>
              <w:sz w:val="16"/>
              <w:szCs w:val="16"/>
              <w:lang w:val="en-US"/>
            </w:rPr>
            <w:t>mail</w:t>
          </w:r>
          <w:r w:rsidRPr="00920AB8"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F7C4F">
              <w:rPr>
                <w:sz w:val="16"/>
                <w:szCs w:val="16"/>
                <w:lang w:val="en-US"/>
              </w:rPr>
              <w:t>zakaz</w:t>
            </w:r>
            <w:r w:rsidRPr="00920AB8">
              <w:rPr>
                <w:sz w:val="16"/>
                <w:szCs w:val="16"/>
                <w:lang w:val="en-US"/>
              </w:rPr>
              <w:t>@</w:t>
            </w:r>
            <w:r w:rsidRPr="005F7C4F">
              <w:rPr>
                <w:sz w:val="16"/>
                <w:szCs w:val="16"/>
                <w:lang w:val="en-US"/>
              </w:rPr>
              <w:t>promhimtech</w:t>
            </w:r>
            <w:r w:rsidRPr="00920AB8">
              <w:rPr>
                <w:sz w:val="16"/>
                <w:szCs w:val="16"/>
                <w:lang w:val="en-US"/>
              </w:rPr>
              <w:t>.</w:t>
            </w:r>
            <w:r w:rsidRPr="005F7C4F">
              <w:rPr>
                <w:sz w:val="16"/>
                <w:szCs w:val="16"/>
                <w:lang w:val="en-US"/>
              </w:rPr>
              <w:t>ru</w:t>
            </w:r>
          </w:hyperlink>
          <w:r w:rsidRPr="00920AB8">
            <w:rPr>
              <w:sz w:val="16"/>
              <w:szCs w:val="16"/>
              <w:lang w:val="en-US"/>
            </w:rPr>
            <w:t xml:space="preserve"> </w:t>
          </w:r>
        </w:p>
        <w:p w:rsidR="00D1441A" w:rsidRDefault="00F654B6" w:rsidP="00D1441A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="00D1441A" w:rsidRPr="005F7C4F">
              <w:rPr>
                <w:sz w:val="16"/>
                <w:szCs w:val="16"/>
                <w:lang w:val="en-US"/>
              </w:rPr>
              <w:t>www</w:t>
            </w:r>
            <w:r w:rsidR="00D1441A" w:rsidRPr="00064557">
              <w:rPr>
                <w:sz w:val="16"/>
                <w:szCs w:val="16"/>
              </w:rPr>
              <w:t>.</w:t>
            </w:r>
            <w:proofErr w:type="spellStart"/>
            <w:r w:rsidR="00D1441A" w:rsidRPr="005F7C4F">
              <w:rPr>
                <w:sz w:val="16"/>
                <w:szCs w:val="16"/>
                <w:lang w:val="en-US"/>
              </w:rPr>
              <w:t>promhimtech</w:t>
            </w:r>
            <w:proofErr w:type="spellEnd"/>
            <w:r w:rsidR="00D1441A" w:rsidRPr="00064557">
              <w:rPr>
                <w:sz w:val="16"/>
                <w:szCs w:val="16"/>
              </w:rPr>
              <w:t>.</w:t>
            </w:r>
            <w:proofErr w:type="spellStart"/>
            <w:r w:rsidR="00D1441A" w:rsidRPr="005F7C4F">
              <w:rPr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D1441A" w:rsidRPr="00064557" w:rsidRDefault="00D1441A" w:rsidP="00D1441A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7D4F2C" w:rsidRPr="00D1441A" w:rsidRDefault="007D4F2C" w:rsidP="00D1441A">
    <w:pPr>
      <w:pStyle w:val="a7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22" w:rsidRDefault="005D13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3F"/>
    <w:rsid w:val="004C1DC1"/>
    <w:rsid w:val="005D1322"/>
    <w:rsid w:val="00680DA0"/>
    <w:rsid w:val="007D4F2C"/>
    <w:rsid w:val="0084483F"/>
    <w:rsid w:val="00A06683"/>
    <w:rsid w:val="00D1441A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EFDA4B"/>
  <w15:chartTrackingRefBased/>
  <w15:docId w15:val="{17D3C807-255C-40BF-A42D-8E97900B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Pr>
      <w:sz w:val="24"/>
      <w:szCs w:val="24"/>
    </w:r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rPr>
      <w:sz w:val="16"/>
      <w:szCs w:val="16"/>
    </w:rPr>
  </w:style>
  <w:style w:type="paragraph" w:styleId="ad">
    <w:name w:val="Balloon Text"/>
    <w:basedOn w:val="a1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Pr>
      <w:rFonts w:ascii="Segoe UI" w:hAnsi="Segoe UI" w:cs="Segoe UI"/>
      <w:sz w:val="18"/>
      <w:szCs w:val="18"/>
    </w:rPr>
  </w:style>
  <w:style w:type="paragraph" w:customStyle="1" w:styleId="af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table" w:styleId="af0">
    <w:name w:val="Table Grid"/>
    <w:basedOn w:val="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3623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Rosemount 8700</vt:lpstr>
    </vt:vector>
  </TitlesOfParts>
  <Company>Emerson Process Management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Rosemount 8700</dc:title>
  <dc:subject/>
  <dc:creator>Чепуров Александр</dc:creator>
  <cp:keywords/>
  <dc:description/>
  <cp:lastModifiedBy>Manager</cp:lastModifiedBy>
  <cp:revision>6</cp:revision>
  <cp:lastPrinted>2010-01-22T09:34:00Z</cp:lastPrinted>
  <dcterms:created xsi:type="dcterms:W3CDTF">2020-12-02T04:30:00Z</dcterms:created>
  <dcterms:modified xsi:type="dcterms:W3CDTF">2020-12-07T08:59:00Z</dcterms:modified>
</cp:coreProperties>
</file>